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项目名称：</w:t>
      </w:r>
      <w:r>
        <w:rPr>
          <w:rFonts w:hint="eastAsia" w:ascii="仿宋_GB2312" w:hAnsi="仿宋_GB2312" w:eastAsia="仿宋_GB2312" w:cs="仿宋_GB2312"/>
          <w:kern w:val="0"/>
          <w:sz w:val="32"/>
          <w:szCs w:val="32"/>
          <w:lang w:eastAsia="zh-CN"/>
        </w:rPr>
        <w:t>奖补资金项目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实施单位（公章）：</w:t>
      </w:r>
      <w:r>
        <w:rPr>
          <w:rFonts w:hint="eastAsia" w:ascii="仿宋_GB2312" w:hAnsi="仿宋_GB2312" w:eastAsia="仿宋_GB2312" w:cs="仿宋_GB2312"/>
          <w:kern w:val="0"/>
          <w:sz w:val="32"/>
          <w:szCs w:val="32"/>
          <w:lang w:eastAsia="zh-CN"/>
        </w:rPr>
        <w:t>新疆维吾尔自治区喀什地区教育局</w:t>
      </w:r>
      <w:r>
        <w:rPr>
          <w:rFonts w:hint="eastAsia" w:ascii="仿宋_GB2312" w:hAnsi="仿宋_GB2312" w:eastAsia="仿宋_GB2312" w:cs="仿宋_GB2312"/>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自治区主管部门（公章）：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项目负责人（签章）：</w:t>
      </w:r>
      <w:r>
        <w:rPr>
          <w:rFonts w:hint="eastAsia" w:ascii="仿宋_GB2312" w:hAnsi="仿宋_GB2312" w:eastAsia="仿宋_GB2312" w:cs="仿宋_GB2312"/>
          <w:kern w:val="0"/>
          <w:sz w:val="32"/>
          <w:szCs w:val="32"/>
          <w:lang w:eastAsia="zh-CN"/>
        </w:rPr>
        <w:t>张卫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w:t>
      </w:r>
      <w:r>
        <w:rPr>
          <w:rFonts w:hint="eastAsia" w:ascii="仿宋_GB2312" w:hAnsi="仿宋_GB2312" w:eastAsia="仿宋_GB2312" w:cs="仿宋_GB2312"/>
          <w:kern w:val="0"/>
          <w:sz w:val="32"/>
          <w:szCs w:val="32"/>
          <w:lang w:val="en-US" w:eastAsia="zh-CN"/>
        </w:rPr>
        <w:t>2018</w:t>
      </w:r>
      <w:r>
        <w:rPr>
          <w:rFonts w:hint="eastAsia" w:ascii="仿宋_GB2312" w:hAnsi="仿宋_GB2312" w:eastAsia="仿宋_GB2312" w:cs="仿宋_GB2312"/>
          <w:kern w:val="0"/>
          <w:sz w:val="32"/>
          <w:szCs w:val="32"/>
        </w:rPr>
        <w:t xml:space="preserve">年 </w:t>
      </w: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 xml:space="preserve">月 </w:t>
      </w:r>
      <w:r>
        <w:rPr>
          <w:rFonts w:hint="eastAsia" w:ascii="仿宋_GB2312" w:hAnsi="仿宋_GB2312" w:eastAsia="仿宋_GB2312" w:cs="仿宋_GB2312"/>
          <w:kern w:val="0"/>
          <w:sz w:val="32"/>
          <w:szCs w:val="32"/>
          <w:lang w:val="en-US" w:eastAsia="zh-CN"/>
        </w:rPr>
        <w:t>24</w:t>
      </w:r>
      <w:r>
        <w:rPr>
          <w:rFonts w:hint="eastAsia" w:ascii="仿宋_GB2312" w:hAnsi="仿宋_GB2312" w:eastAsia="仿宋_GB2312" w:cs="仿宋_GB2312"/>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9"/>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sectPr>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eastAsia="zh-CN"/>
        </w:rPr>
      </w:pPr>
      <w:r>
        <w:rPr>
          <w:rStyle w:val="18"/>
          <w:rFonts w:hint="eastAsia" w:ascii="仿宋_GB2312" w:hAnsi="仿宋_GB2312" w:eastAsia="仿宋_GB2312" w:cs="仿宋_GB2312"/>
          <w:b w:val="0"/>
          <w:spacing w:val="-4"/>
          <w:sz w:val="32"/>
          <w:szCs w:val="32"/>
          <w:lang w:eastAsia="zh-CN"/>
        </w:rPr>
        <w:t>喀什地区学生资助管理中心隶属喀什地区教育局，为全额事业单位，应有</w:t>
      </w:r>
      <w:r>
        <w:rPr>
          <w:rStyle w:val="18"/>
          <w:rFonts w:hint="eastAsia" w:ascii="仿宋_GB2312" w:hAnsi="仿宋_GB2312" w:eastAsia="仿宋_GB2312" w:cs="仿宋_GB2312"/>
          <w:b w:val="0"/>
          <w:spacing w:val="-4"/>
          <w:sz w:val="32"/>
          <w:szCs w:val="32"/>
          <w:lang w:val="en-US" w:eastAsia="zh-CN"/>
        </w:rPr>
        <w:t>5名编制，现均在编在岗。主要业务：</w:t>
      </w:r>
      <w:r>
        <w:rPr>
          <w:rStyle w:val="18"/>
          <w:rFonts w:hint="eastAsia" w:ascii="仿宋_GB2312" w:hAnsi="仿宋_GB2312" w:eastAsia="仿宋_GB2312" w:cs="仿宋_GB2312"/>
          <w:b w:val="0"/>
          <w:spacing w:val="-4"/>
          <w:sz w:val="32"/>
          <w:szCs w:val="32"/>
        </w:rPr>
        <w:t>贯彻落实</w:t>
      </w:r>
      <w:r>
        <w:rPr>
          <w:rStyle w:val="18"/>
          <w:rFonts w:hint="eastAsia" w:ascii="仿宋_GB2312" w:hAnsi="仿宋_GB2312" w:eastAsia="仿宋_GB2312" w:cs="仿宋_GB2312"/>
          <w:b w:val="0"/>
          <w:spacing w:val="-4"/>
          <w:sz w:val="32"/>
          <w:szCs w:val="32"/>
          <w:lang w:eastAsia="zh-CN"/>
        </w:rPr>
        <w:t>学前至高等教育</w:t>
      </w:r>
      <w:r>
        <w:rPr>
          <w:rStyle w:val="18"/>
          <w:rFonts w:hint="eastAsia" w:ascii="仿宋_GB2312" w:hAnsi="仿宋_GB2312" w:eastAsia="仿宋_GB2312" w:cs="仿宋_GB2312"/>
          <w:b w:val="0"/>
          <w:spacing w:val="-4"/>
          <w:sz w:val="32"/>
          <w:szCs w:val="32"/>
        </w:rPr>
        <w:t>各项资助政策，建立健全学生资助政策体系，负责做好本地区</w:t>
      </w:r>
      <w:r>
        <w:rPr>
          <w:rStyle w:val="18"/>
          <w:rFonts w:hint="eastAsia" w:ascii="仿宋_GB2312" w:hAnsi="仿宋_GB2312" w:eastAsia="仿宋_GB2312" w:cs="仿宋_GB2312"/>
          <w:b w:val="0"/>
          <w:spacing w:val="-4"/>
          <w:sz w:val="32"/>
          <w:szCs w:val="32"/>
          <w:lang w:eastAsia="zh-CN"/>
        </w:rPr>
        <w:t>高中阶段</w:t>
      </w:r>
      <w:r>
        <w:rPr>
          <w:rStyle w:val="18"/>
          <w:rFonts w:hint="eastAsia" w:ascii="仿宋_GB2312" w:hAnsi="仿宋_GB2312" w:eastAsia="仿宋_GB2312" w:cs="仿宋_GB2312"/>
          <w:b w:val="0"/>
          <w:spacing w:val="-4"/>
          <w:sz w:val="32"/>
          <w:szCs w:val="32"/>
        </w:rPr>
        <w:t>教育“三免一补”政策的落实、监管工作；做好农村义务教育营养改善计划工作；做好各级各类社会类捐赠资助工作；做好学前幼儿资助工作</w:t>
      </w:r>
      <w:r>
        <w:rPr>
          <w:rStyle w:val="18"/>
          <w:rFonts w:hint="eastAsia" w:ascii="仿宋_GB2312" w:hAnsi="仿宋_GB2312" w:eastAsia="仿宋_GB2312" w:cs="仿宋_GB2312"/>
          <w:b w:val="0"/>
          <w:spacing w:val="-4"/>
          <w:sz w:val="32"/>
          <w:szCs w:val="32"/>
          <w:lang w:eastAsia="zh-CN"/>
        </w:rPr>
        <w:t>；做好高校代偿学费工作。</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项目预算绩效目标设定情况</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Style w:val="18"/>
          <w:rFonts w:hint="eastAsia" w:ascii="楷体" w:hAnsi="楷体" w:eastAsia="楷体"/>
          <w:spacing w:val="-4"/>
          <w:sz w:val="32"/>
          <w:szCs w:val="32"/>
          <w:lang w:val="en-US" w:eastAsia="zh-CN"/>
        </w:rPr>
      </w:pPr>
      <w:r>
        <w:rPr>
          <w:rStyle w:val="18"/>
          <w:rFonts w:hint="eastAsia" w:ascii="楷体" w:hAnsi="楷体" w:eastAsia="楷体"/>
          <w:spacing w:val="-4"/>
          <w:sz w:val="32"/>
          <w:szCs w:val="32"/>
          <w:lang w:val="en-US" w:eastAsia="zh-CN"/>
        </w:rPr>
        <w:t>1、项目预期目标及阶段性目标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eastAsia="zh-CN"/>
        </w:rPr>
      </w:pPr>
      <w:r>
        <w:rPr>
          <w:rStyle w:val="18"/>
          <w:rFonts w:hint="eastAsia" w:ascii="仿宋_GB2312" w:hAnsi="仿宋_GB2312" w:eastAsia="仿宋_GB2312" w:cs="仿宋_GB2312"/>
          <w:b w:val="0"/>
          <w:spacing w:val="-4"/>
          <w:sz w:val="32"/>
          <w:szCs w:val="32"/>
          <w:lang w:eastAsia="zh-CN"/>
        </w:rPr>
        <w:t>自治区教育厅根据</w:t>
      </w:r>
      <w:r>
        <w:rPr>
          <w:rStyle w:val="18"/>
          <w:rFonts w:hint="eastAsia" w:ascii="仿宋_GB2312" w:hAnsi="仿宋_GB2312" w:eastAsia="仿宋_GB2312" w:cs="仿宋_GB2312"/>
          <w:b w:val="0"/>
          <w:spacing w:val="-4"/>
          <w:sz w:val="32"/>
          <w:szCs w:val="32"/>
          <w:lang w:val="en-US" w:eastAsia="zh-CN"/>
        </w:rPr>
        <w:t>2017年</w:t>
      </w:r>
      <w:r>
        <w:rPr>
          <w:rStyle w:val="18"/>
          <w:rFonts w:hint="eastAsia" w:ascii="仿宋_GB2312" w:hAnsi="仿宋_GB2312" w:eastAsia="仿宋_GB2312" w:cs="仿宋_GB2312"/>
          <w:b w:val="0"/>
          <w:spacing w:val="-4"/>
          <w:sz w:val="32"/>
          <w:szCs w:val="32"/>
          <w:lang w:eastAsia="zh-CN"/>
        </w:rPr>
        <w:t>喀什地区学生资助工作总体情况，给我区拨付</w:t>
      </w:r>
      <w:r>
        <w:rPr>
          <w:rStyle w:val="18"/>
          <w:rFonts w:hint="eastAsia" w:ascii="仿宋_GB2312" w:hAnsi="仿宋_GB2312" w:eastAsia="仿宋_GB2312" w:cs="仿宋_GB2312"/>
          <w:b w:val="0"/>
          <w:spacing w:val="-4"/>
          <w:sz w:val="32"/>
          <w:szCs w:val="32"/>
          <w:lang w:val="en-US" w:eastAsia="zh-CN"/>
        </w:rPr>
        <w:t>40万元专项资金作为奖补，按照我地区实际工作，将3万元留于本级使用，37万元分配至12县市教育局，</w:t>
      </w:r>
      <w:r>
        <w:rPr>
          <w:rStyle w:val="18"/>
          <w:rFonts w:hint="eastAsia" w:ascii="仿宋_GB2312" w:hAnsi="仿宋_GB2312" w:eastAsia="仿宋_GB2312" w:cs="仿宋_GB2312"/>
          <w:b w:val="0"/>
          <w:spacing w:val="-4"/>
          <w:sz w:val="32"/>
          <w:szCs w:val="32"/>
          <w:lang w:eastAsia="zh-CN"/>
        </w:rPr>
        <w:t>主要用于家庭经济困难学生资助或学生资助相关工作。其中本级</w:t>
      </w:r>
      <w:r>
        <w:rPr>
          <w:rStyle w:val="18"/>
          <w:rFonts w:hint="eastAsia" w:ascii="仿宋_GB2312" w:hAnsi="仿宋_GB2312" w:eastAsia="仿宋_GB2312" w:cs="仿宋_GB2312"/>
          <w:b w:val="0"/>
          <w:spacing w:val="-4"/>
          <w:sz w:val="32"/>
          <w:szCs w:val="32"/>
          <w:lang w:val="en-US" w:eastAsia="zh-CN"/>
        </w:rPr>
        <w:t>3万元用于购买了6台电脑，改善办公条件。</w:t>
      </w:r>
      <w:r>
        <w:rPr>
          <w:rStyle w:val="18"/>
          <w:rFonts w:hint="eastAsia" w:ascii="仿宋_GB2312" w:hAnsi="仿宋_GB2312" w:eastAsia="仿宋_GB2312" w:cs="仿宋_GB2312"/>
          <w:b w:val="0"/>
          <w:spacing w:val="-4"/>
          <w:sz w:val="32"/>
          <w:szCs w:val="32"/>
          <w:lang w:eastAsia="zh-CN"/>
        </w:rPr>
        <w:t>通过项目的实施，有效了改善办公条件，提高工作效率，推动学生资助工作，全面提高教育教学质量。</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2、项目基本性质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本项目性质为奖补资金项目，用于推动学生资助工作。</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3、项目用途及范围</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eastAsia="zh-CN"/>
        </w:rPr>
        <w:t>此项目资金主要用于家庭经济困难学生资助或学生资助相关工作，如家庭经济困难学生资助，办公条件的改善、相关督导检查等方面。</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eastAsia="zh-CN"/>
        </w:rPr>
        <w:t>根据各县、市在学生管理中心机构建设，人员配备情况，同时在2017年落实学生资助管理中心工作情况，按照</w:t>
      </w:r>
      <w:r>
        <w:rPr>
          <w:rStyle w:val="18"/>
          <w:rFonts w:hint="eastAsia" w:ascii="仿宋_GB2312" w:hAnsi="仿宋_GB2312" w:eastAsia="仿宋_GB2312" w:cs="仿宋_GB2312"/>
          <w:b w:val="0"/>
          <w:spacing w:val="-4"/>
          <w:sz w:val="32"/>
          <w:szCs w:val="32"/>
          <w:lang w:val="en-US" w:eastAsia="zh-CN"/>
        </w:rPr>
        <w:t>2万、3万、4万三个档次及时分配至12县市，地区本级留用3万元。</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eastAsia="zh-CN"/>
        </w:rPr>
        <w:t>本资金为</w:t>
      </w:r>
      <w:r>
        <w:rPr>
          <w:rStyle w:val="18"/>
          <w:rFonts w:hint="eastAsia" w:ascii="仿宋_GB2312" w:hAnsi="仿宋_GB2312" w:eastAsia="仿宋_GB2312" w:cs="仿宋_GB2312"/>
          <w:b w:val="0"/>
          <w:spacing w:val="-4"/>
          <w:sz w:val="32"/>
          <w:szCs w:val="32"/>
          <w:lang w:val="en-US" w:eastAsia="zh-CN"/>
        </w:rPr>
        <w:t>2017年结转至2018年使用，</w:t>
      </w:r>
      <w:r>
        <w:rPr>
          <w:rStyle w:val="18"/>
          <w:rFonts w:hint="eastAsia" w:ascii="仿宋_GB2312" w:hAnsi="仿宋_GB2312" w:eastAsia="仿宋_GB2312" w:cs="仿宋_GB2312"/>
          <w:b w:val="0"/>
          <w:spacing w:val="-4"/>
          <w:sz w:val="32"/>
          <w:szCs w:val="32"/>
          <w:lang w:eastAsia="zh-CN"/>
        </w:rPr>
        <w:t>在资金拨付之后，各县市根据本县实际情况，均能按照要求将资金用到实处。地区本级将</w:t>
      </w:r>
      <w:r>
        <w:rPr>
          <w:rStyle w:val="18"/>
          <w:rFonts w:hint="eastAsia" w:ascii="仿宋_GB2312" w:hAnsi="仿宋_GB2312" w:eastAsia="仿宋_GB2312" w:cs="仿宋_GB2312"/>
          <w:b w:val="0"/>
          <w:spacing w:val="-4"/>
          <w:sz w:val="32"/>
          <w:szCs w:val="32"/>
          <w:lang w:val="en-US" w:eastAsia="zh-CN"/>
        </w:rPr>
        <w:t>3万元项目资金用于改善办公条件，通过政府采购，购买了6台电脑，目前均已采购完毕，投入使用。</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eastAsia="zh-CN"/>
        </w:rPr>
      </w:pPr>
      <w:r>
        <w:rPr>
          <w:rStyle w:val="18"/>
          <w:rFonts w:hint="eastAsia" w:ascii="仿宋_GB2312" w:hAnsi="仿宋_GB2312" w:eastAsia="仿宋_GB2312" w:cs="仿宋_GB2312"/>
          <w:b w:val="0"/>
          <w:spacing w:val="-4"/>
          <w:sz w:val="32"/>
          <w:szCs w:val="32"/>
          <w:lang w:eastAsia="zh-CN"/>
        </w:rPr>
        <w:t>为充分发挥资金效益，切实做好资金的绩效管理及评价，资金及时拨付至各县市。从实施情况来看，项目资金管理制度健全，并能严格执行；项目的实际支出符合财经管理制度，资金使用合理；各种账务处理及时，会计核算规范。</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项目组织实施情况</w:t>
      </w:r>
    </w:p>
    <w:p>
      <w:pPr>
        <w:keepNext w:val="0"/>
        <w:keepLines w:val="0"/>
        <w:pageBreakBefore w:val="0"/>
        <w:numPr>
          <w:ilvl w:val="0"/>
          <w:numId w:val="3"/>
        </w:numPr>
        <w:kinsoku/>
        <w:wordWrap/>
        <w:overflowPunct/>
        <w:topLinePunct w:val="0"/>
        <w:autoSpaceDE/>
        <w:autoSpaceDN/>
        <w:bidi w:val="0"/>
        <w:adjustRightInd/>
        <w:snapToGrid/>
        <w:spacing w:line="560" w:lineRule="exact"/>
        <w:ind w:firstLine="627" w:firstLineChars="200"/>
        <w:textAlignment w:val="auto"/>
        <w:rPr>
          <w:rStyle w:val="18"/>
          <w:rFonts w:hint="eastAsia" w:ascii="仿宋" w:hAnsi="仿宋" w:eastAsia="仿宋"/>
          <w:b/>
          <w:bCs w:val="0"/>
          <w:spacing w:val="-4"/>
          <w:sz w:val="32"/>
          <w:szCs w:val="32"/>
          <w:lang w:eastAsia="zh-CN"/>
        </w:rPr>
      </w:pPr>
      <w:r>
        <w:rPr>
          <w:rStyle w:val="18"/>
          <w:rFonts w:hint="eastAsia" w:ascii="仿宋" w:hAnsi="仿宋" w:eastAsia="仿宋"/>
          <w:b/>
          <w:bCs w:val="0"/>
          <w:spacing w:val="-4"/>
          <w:sz w:val="32"/>
          <w:szCs w:val="32"/>
          <w:lang w:eastAsia="zh-CN"/>
        </w:rPr>
        <w:t>项目组织情况分析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eastAsia="zh-CN"/>
        </w:rPr>
      </w:pPr>
      <w:r>
        <w:rPr>
          <w:rStyle w:val="18"/>
          <w:rFonts w:hint="eastAsia" w:ascii="仿宋_GB2312" w:hAnsi="仿宋_GB2312" w:eastAsia="仿宋_GB2312" w:cs="仿宋_GB2312"/>
          <w:b w:val="0"/>
          <w:spacing w:val="-4"/>
          <w:sz w:val="32"/>
          <w:szCs w:val="32"/>
          <w:lang w:eastAsia="zh-CN"/>
        </w:rPr>
        <w:t>2017年国家助学金贷款奖补专项资金项目由地区教育局学生资助管理中心根据各县市学生资助工作情况，进行资金非配。县市教育局根据奖补资金用途合理合规做好本年支出计划。</w:t>
      </w:r>
    </w:p>
    <w:p>
      <w:pPr>
        <w:keepNext w:val="0"/>
        <w:keepLines w:val="0"/>
        <w:pageBreakBefore w:val="0"/>
        <w:numPr>
          <w:ilvl w:val="0"/>
          <w:numId w:val="3"/>
        </w:numPr>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仿宋" w:hAnsi="仿宋" w:eastAsia="仿宋"/>
          <w:b/>
          <w:bCs w:val="0"/>
          <w:spacing w:val="-4"/>
          <w:sz w:val="32"/>
          <w:szCs w:val="32"/>
          <w:lang w:eastAsia="zh-CN"/>
        </w:rPr>
      </w:pPr>
      <w:r>
        <w:rPr>
          <w:rStyle w:val="18"/>
          <w:rFonts w:hint="eastAsia" w:ascii="仿宋" w:hAnsi="仿宋" w:eastAsia="仿宋"/>
          <w:b/>
          <w:bCs w:val="0"/>
          <w:spacing w:val="-4"/>
          <w:sz w:val="32"/>
          <w:szCs w:val="32"/>
          <w:lang w:eastAsia="zh-CN"/>
        </w:rPr>
        <w:t>项目管理情况分析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eastAsia="zh-CN"/>
        </w:rPr>
      </w:pPr>
      <w:r>
        <w:rPr>
          <w:rStyle w:val="18"/>
          <w:rFonts w:hint="eastAsia" w:ascii="仿宋_GB2312" w:hAnsi="仿宋_GB2312" w:eastAsia="仿宋_GB2312" w:cs="仿宋_GB2312"/>
          <w:b w:val="0"/>
          <w:spacing w:val="-4"/>
          <w:sz w:val="32"/>
          <w:szCs w:val="32"/>
          <w:lang w:eastAsia="zh-CN"/>
        </w:rPr>
        <w:t>该项目资金由县市教育局列入</w:t>
      </w:r>
      <w:r>
        <w:rPr>
          <w:rStyle w:val="18"/>
          <w:rFonts w:hint="eastAsia" w:ascii="仿宋_GB2312" w:hAnsi="仿宋_GB2312" w:eastAsia="仿宋_GB2312" w:cs="仿宋_GB2312"/>
          <w:b w:val="0"/>
          <w:spacing w:val="-4"/>
          <w:sz w:val="32"/>
          <w:szCs w:val="32"/>
          <w:lang w:val="en-US" w:eastAsia="zh-CN"/>
        </w:rPr>
        <w:t>2018年</w:t>
      </w:r>
      <w:r>
        <w:rPr>
          <w:rStyle w:val="18"/>
          <w:rFonts w:hint="eastAsia" w:ascii="仿宋_GB2312" w:hAnsi="仿宋_GB2312" w:eastAsia="仿宋_GB2312" w:cs="仿宋_GB2312"/>
          <w:b w:val="0"/>
          <w:spacing w:val="-4"/>
          <w:sz w:val="32"/>
          <w:szCs w:val="32"/>
          <w:lang w:eastAsia="zh-CN"/>
        </w:rPr>
        <w:t>预算和管理，由县市学生资助管理中心提出计划，由县市教育局审核把关监督使用。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ascii="黑体" w:hAnsi="黑体" w:eastAsia="黑体"/>
        </w:rPr>
        <w:t xml:space="preserve"> </w:t>
      </w:r>
    </w:p>
    <w:p>
      <w:pPr>
        <w:keepNext w:val="0"/>
        <w:keepLines w:val="0"/>
        <w:pageBreakBefore w:val="0"/>
        <w:kinsoku/>
        <w:wordWrap/>
        <w:overflowPunct/>
        <w:topLinePunct w:val="0"/>
        <w:autoSpaceDE/>
        <w:autoSpaceDN/>
        <w:bidi w:val="0"/>
        <w:adjustRightInd/>
        <w:snapToGrid/>
        <w:spacing w:line="560" w:lineRule="exact"/>
        <w:ind w:firstLine="422" w:firstLineChars="200"/>
        <w:textAlignment w:val="auto"/>
        <w:rPr>
          <w:rFonts w:hint="eastAsia" w:ascii="楷体" w:hAnsi="楷体" w:eastAsia="楷体"/>
          <w:b/>
          <w:spacing w:val="-4"/>
          <w:sz w:val="32"/>
          <w:szCs w:val="32"/>
          <w:lang w:val="en-US" w:eastAsia="zh-CN"/>
        </w:rPr>
      </w:pPr>
      <w:r>
        <w:rPr>
          <w:rStyle w:val="18"/>
          <w:rFonts w:hint="eastAsia" w:ascii="黑体" w:hAnsi="黑体" w:eastAsia="黑体"/>
          <w:lang w:val="en-US" w:eastAsia="zh-CN"/>
        </w:rPr>
        <w:t xml:space="preserve">    </w:t>
      </w:r>
      <w:r>
        <w:rPr>
          <w:rFonts w:hint="eastAsia" w:ascii="楷体" w:hAnsi="楷体" w:eastAsia="楷体"/>
          <w:b/>
          <w:spacing w:val="-4"/>
          <w:sz w:val="32"/>
          <w:szCs w:val="32"/>
          <w:lang w:val="en-US" w:eastAsia="zh-CN"/>
        </w:rPr>
        <w:t xml:space="preserve"> （一）项目绩效目标完成情况分析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本项目共设置一级指标3个，二级指标9个，三级指标10个，其中完成指标10个，指标完成率100%。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经济性：项目实施通过政府集中采购，节约率为0。</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效率性：项目资金及时拨付至各县市的同时，本级用于改善办公条件，购买设备，及时通过招投标采购，及时率为100%。</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eastAsia="仿宋_GB2312"/>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效益性：</w:t>
      </w:r>
      <w:r>
        <w:rPr>
          <w:rStyle w:val="18"/>
          <w:rFonts w:hint="eastAsia" w:ascii="仿宋_GB2312" w:hAnsi="仿宋_GB2312" w:eastAsia="仿宋_GB2312" w:cs="仿宋_GB2312"/>
          <w:b w:val="0"/>
          <w:spacing w:val="-4"/>
          <w:sz w:val="32"/>
          <w:szCs w:val="32"/>
          <w:lang w:eastAsia="zh-CN"/>
        </w:rPr>
        <w:t>通过使用</w:t>
      </w:r>
      <w:r>
        <w:rPr>
          <w:rStyle w:val="18"/>
          <w:rFonts w:hint="eastAsia" w:ascii="仿宋_GB2312" w:hAnsi="仿宋_GB2312" w:eastAsia="仿宋_GB2312" w:cs="仿宋_GB2312"/>
          <w:b w:val="0"/>
          <w:spacing w:val="-4"/>
          <w:sz w:val="32"/>
          <w:szCs w:val="32"/>
          <w:lang w:val="en-US" w:eastAsia="zh-CN"/>
        </w:rPr>
        <w:t>40万元</w:t>
      </w:r>
      <w:r>
        <w:rPr>
          <w:rStyle w:val="18"/>
          <w:rFonts w:hint="eastAsia" w:ascii="仿宋_GB2312" w:hAnsi="仿宋_GB2312" w:eastAsia="仿宋_GB2312" w:cs="仿宋_GB2312"/>
          <w:b w:val="0"/>
          <w:spacing w:val="-4"/>
          <w:sz w:val="32"/>
          <w:szCs w:val="32"/>
          <w:lang w:eastAsia="zh-CN"/>
        </w:rPr>
        <w:t>奖补资金改善办公条件，提高工作效率，推动学生资助工作，全面提高教育教学质量。</w:t>
      </w:r>
      <w:r>
        <w:rPr>
          <w:rFonts w:hint="eastAsia" w:ascii="仿宋_GB2312" w:eastAsia="仿宋_GB2312"/>
          <w:spacing w:val="-4"/>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627" w:firstLineChars="200"/>
        <w:textAlignment w:val="auto"/>
        <w:rPr>
          <w:rFonts w:hint="eastAsia" w:ascii="仿宋_GB2312" w:eastAsia="仿宋_GB2312"/>
          <w:b/>
          <w:bCs/>
          <w:spacing w:val="-4"/>
          <w:sz w:val="32"/>
          <w:szCs w:val="32"/>
          <w:lang w:val="en-US" w:eastAsia="zh-CN"/>
        </w:rPr>
      </w:pPr>
      <w:r>
        <w:rPr>
          <w:rFonts w:hint="eastAsia" w:ascii="仿宋_GB2312" w:eastAsia="仿宋_GB2312"/>
          <w:b/>
          <w:bCs/>
          <w:spacing w:val="-4"/>
          <w:sz w:val="32"/>
          <w:szCs w:val="32"/>
          <w:lang w:val="en-US" w:eastAsia="zh-CN"/>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eastAsia="仿宋_GB2312"/>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2018年本项目绩效目标全部达成，不存在未完成原因分析。</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Style w:val="18"/>
          <w:rFonts w:ascii="黑体" w:hAnsi="黑体" w:eastAsia="黑体"/>
          <w:b w:val="0"/>
          <w:spacing w:val="-4"/>
          <w:sz w:val="32"/>
          <w:szCs w:val="32"/>
        </w:rPr>
      </w:pPr>
      <w:r>
        <w:rPr>
          <w:rFonts w:hint="eastAsia" w:ascii="宋体" w:hAnsi="宋体" w:cs="宋体"/>
          <w:color w:val="3D3D3D"/>
          <w:sz w:val="24"/>
          <w:szCs w:val="24"/>
          <w:lang w:val="en-US" w:eastAsia="zh-CN"/>
        </w:rPr>
        <w:t xml:space="preserve">  </w:t>
      </w: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eastAsia="zh-CN"/>
        </w:rPr>
      </w:pPr>
      <w:r>
        <w:rPr>
          <w:rStyle w:val="18"/>
          <w:rFonts w:hint="eastAsia" w:ascii="仿宋_GB2312" w:hAnsi="仿宋_GB2312" w:eastAsia="仿宋_GB2312" w:cs="仿宋_GB2312"/>
          <w:b w:val="0"/>
          <w:spacing w:val="-4"/>
          <w:sz w:val="32"/>
          <w:szCs w:val="32"/>
          <w:lang w:eastAsia="zh-CN"/>
        </w:rPr>
        <w:t>严格按照项目资金用途，认真做好结余资金预算。扎实落实各项学生资助政策，努力探索改进创新工作方法，提高工作效率，积极协调争取国家助学金贷款奖补专项资金。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7" w:firstLineChars="200"/>
        <w:jc w:val="left"/>
        <w:textAlignment w:val="auto"/>
        <w:rPr>
          <w:rFonts w:hint="eastAsia" w:ascii="楷体_GB2312" w:hAnsi="楷体_GB2312" w:eastAsia="楷体_GB2312" w:cs="楷体_GB2312"/>
          <w:b/>
          <w:bCs/>
          <w:spacing w:val="-4"/>
          <w:sz w:val="32"/>
          <w:szCs w:val="32"/>
          <w:lang w:eastAsia="zh-CN"/>
        </w:rPr>
      </w:pPr>
      <w:r>
        <w:rPr>
          <w:rFonts w:hint="eastAsia" w:ascii="楷体_GB2312" w:hAnsi="楷体_GB2312" w:eastAsia="楷体_GB2312" w:cs="楷体_GB2312"/>
          <w:b/>
          <w:bCs/>
          <w:spacing w:val="-4"/>
          <w:sz w:val="32"/>
          <w:szCs w:val="32"/>
          <w:lang w:val="en-US" w:eastAsia="zh-CN"/>
        </w:rPr>
        <w:t>1、</w:t>
      </w:r>
      <w:r>
        <w:rPr>
          <w:rFonts w:hint="eastAsia" w:ascii="楷体_GB2312" w:hAnsi="楷体_GB2312" w:eastAsia="楷体_GB2312" w:cs="楷体_GB2312"/>
          <w:b/>
          <w:bCs/>
          <w:spacing w:val="-4"/>
          <w:sz w:val="32"/>
          <w:szCs w:val="32"/>
          <w:lang w:eastAsia="zh-CN"/>
        </w:rPr>
        <w:t>主要经验与做法。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4" w:firstLineChars="200"/>
        <w:jc w:val="left"/>
        <w:textAlignment w:val="auto"/>
        <w:rPr>
          <w:rFonts w:hint="eastAsia" w:ascii="仿宋_GB2312" w:eastAsia="仿宋_GB2312"/>
          <w:spacing w:val="-4"/>
          <w:sz w:val="32"/>
          <w:szCs w:val="32"/>
          <w:lang w:val="en-US" w:eastAsia="zh-CN"/>
        </w:rPr>
      </w:pPr>
      <w:r>
        <w:rPr>
          <w:rStyle w:val="18"/>
          <w:rFonts w:hint="eastAsia" w:ascii="仿宋_GB2312" w:hAnsi="仿宋_GB2312" w:eastAsia="仿宋_GB2312" w:cs="仿宋_GB2312"/>
          <w:b w:val="0"/>
          <w:spacing w:val="-4"/>
          <w:sz w:val="32"/>
          <w:szCs w:val="32"/>
          <w:lang w:eastAsia="zh-CN"/>
        </w:rPr>
        <w:t>将奖补资金的分配与学生资助绩效考核挂钩。</w:t>
      </w:r>
      <w:r>
        <w:rPr>
          <w:rStyle w:val="18"/>
          <w:rFonts w:hint="eastAsia" w:ascii="仿宋_GB2312" w:hAnsi="仿宋_GB2312" w:eastAsia="仿宋_GB2312" w:cs="仿宋_GB2312"/>
          <w:b w:val="0"/>
          <w:spacing w:val="-4"/>
          <w:sz w:val="32"/>
          <w:szCs w:val="32"/>
          <w:lang w:val="en-US" w:eastAsia="zh-CN"/>
        </w:rPr>
        <w:t>在专项资金项目执行过程中，将专项资金执行情况纳入年度考核，促进专项资金按预算执行</w:t>
      </w:r>
      <w:r>
        <w:rPr>
          <w:rFonts w:hint="eastAsia" w:ascii="仿宋_GB2312" w:eastAsia="仿宋_GB2312"/>
          <w:spacing w:val="-4"/>
          <w:sz w:val="32"/>
          <w:szCs w:val="32"/>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27" w:firstLineChars="200"/>
        <w:jc w:val="left"/>
        <w:textAlignment w:val="auto"/>
        <w:rPr>
          <w:rFonts w:hint="eastAsia" w:ascii="楷体_GB2312" w:hAnsi="楷体_GB2312" w:eastAsia="楷体_GB2312" w:cs="楷体_GB2312"/>
          <w:b/>
          <w:bCs/>
          <w:spacing w:val="-4"/>
          <w:sz w:val="32"/>
          <w:szCs w:val="32"/>
          <w:lang w:val="en-US" w:eastAsia="zh-CN"/>
        </w:rPr>
      </w:pPr>
      <w:r>
        <w:rPr>
          <w:rFonts w:hint="eastAsia" w:ascii="楷体_GB2312" w:hAnsi="楷体_GB2312" w:eastAsia="楷体_GB2312" w:cs="楷体_GB2312"/>
          <w:b/>
          <w:bCs/>
          <w:spacing w:val="-4"/>
          <w:sz w:val="32"/>
          <w:szCs w:val="32"/>
          <w:lang w:val="en-US" w:eastAsia="zh-CN"/>
        </w:rPr>
        <w:t>2、存在问题。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无</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200" w:right="0" w:rightChars="0"/>
        <w:jc w:val="left"/>
        <w:textAlignment w:val="auto"/>
        <w:rPr>
          <w:rStyle w:val="18"/>
          <w:rFonts w:hint="eastAsia" w:ascii="仿宋" w:hAnsi="仿宋" w:eastAsia="仿宋"/>
          <w:b/>
          <w:bCs w:val="0"/>
          <w:spacing w:val="-4"/>
          <w:sz w:val="32"/>
          <w:szCs w:val="32"/>
          <w:lang w:val="en-US" w:eastAsia="zh-CN"/>
        </w:rPr>
      </w:pPr>
      <w:r>
        <w:rPr>
          <w:rFonts w:hint="eastAsia" w:ascii="楷体_GB2312" w:hAnsi="楷体_GB2312" w:eastAsia="楷体_GB2312" w:cs="楷体_GB2312"/>
          <w:b/>
          <w:bCs/>
          <w:spacing w:val="-4"/>
          <w:sz w:val="32"/>
          <w:szCs w:val="32"/>
          <w:lang w:val="en-US" w:eastAsia="zh-CN"/>
        </w:rPr>
        <w:t>3、建议</w:t>
      </w:r>
      <w:r>
        <w:rPr>
          <w:rStyle w:val="18"/>
          <w:rFonts w:hint="eastAsia" w:ascii="仿宋" w:hAnsi="仿宋" w:eastAsia="仿宋"/>
          <w:b/>
          <w:bCs w:val="0"/>
          <w:spacing w:val="-4"/>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eastAsia="zh-CN"/>
        </w:rPr>
        <w:t>六</w:t>
      </w:r>
      <w:r>
        <w:rPr>
          <w:rStyle w:val="18"/>
          <w:rFonts w:hint="eastAsia" w:ascii="黑体" w:hAnsi="黑体" w:eastAsia="黑体"/>
          <w:b w:val="0"/>
          <w:spacing w:val="-4"/>
          <w:sz w:val="32"/>
          <w:szCs w:val="32"/>
        </w:rPr>
        <w:t>、</w:t>
      </w:r>
      <w:r>
        <w:rPr>
          <w:rStyle w:val="18"/>
          <w:rFonts w:hint="eastAsia" w:ascii="黑体" w:hAnsi="黑体" w:eastAsia="黑体"/>
          <w:b w:val="0"/>
          <w:spacing w:val="-4"/>
          <w:sz w:val="32"/>
          <w:szCs w:val="32"/>
          <w:lang w:eastAsia="zh-CN"/>
        </w:rPr>
        <w:t>项目评价工作情况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通过开展自我评价，总结经验做法及存在的问题，为今后我区学生资助补助经费项目的实施提供参考建议。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附表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lang w:eastAsia="zh-CN"/>
        </w:rPr>
      </w:pPr>
      <w:r>
        <w:rPr>
          <w:rStyle w:val="18"/>
          <w:rFonts w:hint="eastAsia" w:ascii="仿宋_GB2312" w:hAnsi="仿宋_GB2312" w:eastAsia="仿宋_GB2312" w:cs="仿宋_GB2312"/>
          <w:b w:val="0"/>
          <w:spacing w:val="-4"/>
          <w:sz w:val="32"/>
          <w:szCs w:val="32"/>
          <w:lang w:eastAsia="zh-CN"/>
        </w:rPr>
        <w:t>《项目支出绩效目标自评表》</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635DF3"/>
    <w:multiLevelType w:val="singleLevel"/>
    <w:tmpl w:val="C9635DF3"/>
    <w:lvl w:ilvl="0" w:tentative="0">
      <w:start w:val="1"/>
      <w:numFmt w:val="chineseCounting"/>
      <w:lvlText w:val="(%1)"/>
      <w:lvlJc w:val="left"/>
      <w:pPr>
        <w:tabs>
          <w:tab w:val="left" w:pos="312"/>
        </w:tabs>
      </w:pPr>
      <w:rPr>
        <w:rFonts w:hint="eastAsia"/>
      </w:rPr>
    </w:lvl>
  </w:abstractNum>
  <w:abstractNum w:abstractNumId="1">
    <w:nsid w:val="D554AE30"/>
    <w:multiLevelType w:val="singleLevel"/>
    <w:tmpl w:val="D554AE30"/>
    <w:lvl w:ilvl="0" w:tentative="0">
      <w:start w:val="3"/>
      <w:numFmt w:val="chineseCounting"/>
      <w:suff w:val="nothing"/>
      <w:lvlText w:val="%1、"/>
      <w:lvlJc w:val="left"/>
      <w:rPr>
        <w:rFonts w:hint="eastAsia"/>
      </w:rPr>
    </w:lvl>
  </w:abstractNum>
  <w:abstractNum w:abstractNumId="2">
    <w:nsid w:val="145E5443"/>
    <w:multiLevelType w:val="singleLevel"/>
    <w:tmpl w:val="145E5443"/>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12457D"/>
    <w:rsid w:val="005162F1"/>
    <w:rsid w:val="00535153"/>
    <w:rsid w:val="00604A25"/>
    <w:rsid w:val="00855E3A"/>
    <w:rsid w:val="0091588F"/>
    <w:rsid w:val="00922CB9"/>
    <w:rsid w:val="00961CB9"/>
    <w:rsid w:val="009C0C77"/>
    <w:rsid w:val="009E0116"/>
    <w:rsid w:val="00A26421"/>
    <w:rsid w:val="00A4293B"/>
    <w:rsid w:val="00B205D7"/>
    <w:rsid w:val="00B41F61"/>
    <w:rsid w:val="00B660EF"/>
    <w:rsid w:val="00C56C72"/>
    <w:rsid w:val="00CA6457"/>
    <w:rsid w:val="00D17F2E"/>
    <w:rsid w:val="00E769FE"/>
    <w:rsid w:val="00EA2CBE"/>
    <w:rsid w:val="00F32FEE"/>
    <w:rsid w:val="02A55944"/>
    <w:rsid w:val="04B532D8"/>
    <w:rsid w:val="09763FAD"/>
    <w:rsid w:val="0A7A2B11"/>
    <w:rsid w:val="0B2637E7"/>
    <w:rsid w:val="0C3801AF"/>
    <w:rsid w:val="0C44502F"/>
    <w:rsid w:val="0DF764C0"/>
    <w:rsid w:val="0FF836B3"/>
    <w:rsid w:val="11A23A51"/>
    <w:rsid w:val="11B90C20"/>
    <w:rsid w:val="130A6E4F"/>
    <w:rsid w:val="14D442A9"/>
    <w:rsid w:val="15116F6A"/>
    <w:rsid w:val="17B865EC"/>
    <w:rsid w:val="1C510780"/>
    <w:rsid w:val="1D7E7AF3"/>
    <w:rsid w:val="20574F0C"/>
    <w:rsid w:val="23587BDD"/>
    <w:rsid w:val="250208C2"/>
    <w:rsid w:val="25262701"/>
    <w:rsid w:val="25696928"/>
    <w:rsid w:val="32BD7ECD"/>
    <w:rsid w:val="32C92FE3"/>
    <w:rsid w:val="32E53453"/>
    <w:rsid w:val="38B91ABA"/>
    <w:rsid w:val="39437855"/>
    <w:rsid w:val="3C215CAB"/>
    <w:rsid w:val="40000C23"/>
    <w:rsid w:val="40DB423E"/>
    <w:rsid w:val="40DE2926"/>
    <w:rsid w:val="45EF3E77"/>
    <w:rsid w:val="46606E49"/>
    <w:rsid w:val="4BBF7B6F"/>
    <w:rsid w:val="4D936539"/>
    <w:rsid w:val="50975652"/>
    <w:rsid w:val="50CC299D"/>
    <w:rsid w:val="511B53EA"/>
    <w:rsid w:val="52C7064E"/>
    <w:rsid w:val="55351136"/>
    <w:rsid w:val="55457BFF"/>
    <w:rsid w:val="570D5D4A"/>
    <w:rsid w:val="57733620"/>
    <w:rsid w:val="59156BFB"/>
    <w:rsid w:val="5A0302EC"/>
    <w:rsid w:val="5A0E1676"/>
    <w:rsid w:val="5A36319D"/>
    <w:rsid w:val="5A5E5E64"/>
    <w:rsid w:val="5AC82CEA"/>
    <w:rsid w:val="60F14BB2"/>
    <w:rsid w:val="62C71F7D"/>
    <w:rsid w:val="62D60BAD"/>
    <w:rsid w:val="63BC7740"/>
    <w:rsid w:val="66050BD0"/>
    <w:rsid w:val="6700014C"/>
    <w:rsid w:val="670E1C8B"/>
    <w:rsid w:val="671D3B75"/>
    <w:rsid w:val="682D7FA0"/>
    <w:rsid w:val="6A7F1CCE"/>
    <w:rsid w:val="6E084284"/>
    <w:rsid w:val="717C0CAD"/>
    <w:rsid w:val="798C10B7"/>
    <w:rsid w:val="7ECD20BC"/>
    <w:rsid w:val="7FF318D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3"/>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4"/>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5"/>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6"/>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7"/>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8"/>
    <w:qFormat/>
    <w:uiPriority w:val="99"/>
    <w:pPr>
      <w:widowControl/>
      <w:spacing w:before="240" w:after="60"/>
      <w:jc w:val="left"/>
      <w:outlineLvl w:val="6"/>
    </w:pPr>
    <w:rPr>
      <w:rFonts w:ascii="Calibri" w:hAnsi="Calibri"/>
      <w:kern w:val="0"/>
      <w:sz w:val="24"/>
    </w:rPr>
  </w:style>
  <w:style w:type="paragraph" w:styleId="9">
    <w:name w:val="heading 8"/>
    <w:basedOn w:val="1"/>
    <w:next w:val="1"/>
    <w:link w:val="29"/>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0"/>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qFormat/>
    <w:uiPriority w:val="99"/>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46"/>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5"/>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32"/>
    <w:qFormat/>
    <w:uiPriority w:val="99"/>
    <w:pPr>
      <w:widowControl/>
      <w:spacing w:after="60"/>
      <w:jc w:val="center"/>
      <w:outlineLvl w:val="1"/>
    </w:pPr>
    <w:rPr>
      <w:rFonts w:ascii="Cambria" w:hAnsi="Cambria"/>
      <w:kern w:val="0"/>
      <w:sz w:val="24"/>
    </w:rPr>
  </w:style>
  <w:style w:type="paragraph" w:styleId="14">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5">
    <w:name w:val="Title"/>
    <w:basedOn w:val="1"/>
    <w:next w:val="1"/>
    <w:link w:val="31"/>
    <w:qFormat/>
    <w:uiPriority w:val="99"/>
    <w:pPr>
      <w:widowControl/>
      <w:spacing w:before="240" w:after="60"/>
      <w:jc w:val="center"/>
      <w:outlineLvl w:val="0"/>
    </w:pPr>
    <w:rPr>
      <w:rFonts w:ascii="Cambria" w:hAnsi="Cambria"/>
      <w:b/>
      <w:bCs/>
      <w:kern w:val="28"/>
      <w:sz w:val="32"/>
      <w:szCs w:val="32"/>
    </w:rPr>
  </w:style>
  <w:style w:type="character" w:styleId="18">
    <w:name w:val="Strong"/>
    <w:basedOn w:val="17"/>
    <w:qFormat/>
    <w:uiPriority w:val="99"/>
    <w:rPr>
      <w:rFonts w:cs="Times New Roman"/>
      <w:b/>
      <w:bCs/>
    </w:rPr>
  </w:style>
  <w:style w:type="character" w:styleId="19">
    <w:name w:val="FollowedHyperlink"/>
    <w:basedOn w:val="17"/>
    <w:semiHidden/>
    <w:unhideWhenUsed/>
    <w:qFormat/>
    <w:uiPriority w:val="99"/>
    <w:rPr>
      <w:color w:val="333333"/>
      <w:u w:val="none"/>
    </w:rPr>
  </w:style>
  <w:style w:type="character" w:styleId="20">
    <w:name w:val="Emphasis"/>
    <w:basedOn w:val="17"/>
    <w:qFormat/>
    <w:uiPriority w:val="99"/>
    <w:rPr>
      <w:rFonts w:ascii="Calibri" w:hAnsi="Calibri" w:cs="Times New Roman"/>
      <w:b/>
      <w:i/>
      <w:iCs/>
    </w:rPr>
  </w:style>
  <w:style w:type="character" w:styleId="21">
    <w:name w:val="Hyperlink"/>
    <w:basedOn w:val="17"/>
    <w:semiHidden/>
    <w:unhideWhenUsed/>
    <w:qFormat/>
    <w:uiPriority w:val="99"/>
    <w:rPr>
      <w:color w:val="333333"/>
      <w:u w:val="none"/>
    </w:rPr>
  </w:style>
  <w:style w:type="character" w:customStyle="1" w:styleId="22">
    <w:name w:val="Heading 1 Char"/>
    <w:basedOn w:val="17"/>
    <w:link w:val="2"/>
    <w:qFormat/>
    <w:locked/>
    <w:uiPriority w:val="99"/>
    <w:rPr>
      <w:rFonts w:ascii="Cambria" w:hAnsi="Cambria" w:eastAsia="宋体" w:cs="Times New Roman"/>
      <w:b/>
      <w:bCs/>
      <w:kern w:val="32"/>
      <w:sz w:val="32"/>
      <w:szCs w:val="32"/>
    </w:rPr>
  </w:style>
  <w:style w:type="character" w:customStyle="1" w:styleId="23">
    <w:name w:val="Heading 2 Char"/>
    <w:basedOn w:val="17"/>
    <w:link w:val="3"/>
    <w:semiHidden/>
    <w:qFormat/>
    <w:locked/>
    <w:uiPriority w:val="99"/>
    <w:rPr>
      <w:rFonts w:ascii="Cambria" w:hAnsi="Cambria" w:eastAsia="宋体" w:cs="Times New Roman"/>
      <w:b/>
      <w:bCs/>
      <w:i/>
      <w:iCs/>
      <w:sz w:val="28"/>
      <w:szCs w:val="28"/>
    </w:rPr>
  </w:style>
  <w:style w:type="character" w:customStyle="1" w:styleId="24">
    <w:name w:val="Heading 3 Char"/>
    <w:basedOn w:val="17"/>
    <w:link w:val="4"/>
    <w:semiHidden/>
    <w:qFormat/>
    <w:locked/>
    <w:uiPriority w:val="99"/>
    <w:rPr>
      <w:rFonts w:ascii="Cambria" w:hAnsi="Cambria" w:eastAsia="宋体" w:cs="Times New Roman"/>
      <w:b/>
      <w:bCs/>
      <w:sz w:val="26"/>
      <w:szCs w:val="26"/>
    </w:rPr>
  </w:style>
  <w:style w:type="character" w:customStyle="1" w:styleId="25">
    <w:name w:val="Heading 4 Char"/>
    <w:basedOn w:val="17"/>
    <w:link w:val="5"/>
    <w:semiHidden/>
    <w:qFormat/>
    <w:locked/>
    <w:uiPriority w:val="99"/>
    <w:rPr>
      <w:rFonts w:cs="Times New Roman"/>
      <w:b/>
      <w:bCs/>
      <w:sz w:val="28"/>
      <w:szCs w:val="28"/>
    </w:rPr>
  </w:style>
  <w:style w:type="character" w:customStyle="1" w:styleId="26">
    <w:name w:val="Heading 5 Char"/>
    <w:basedOn w:val="17"/>
    <w:link w:val="6"/>
    <w:semiHidden/>
    <w:qFormat/>
    <w:locked/>
    <w:uiPriority w:val="99"/>
    <w:rPr>
      <w:rFonts w:cs="Times New Roman"/>
      <w:b/>
      <w:bCs/>
      <w:i/>
      <w:iCs/>
      <w:sz w:val="26"/>
      <w:szCs w:val="26"/>
    </w:rPr>
  </w:style>
  <w:style w:type="character" w:customStyle="1" w:styleId="27">
    <w:name w:val="Heading 6 Char"/>
    <w:basedOn w:val="17"/>
    <w:link w:val="7"/>
    <w:semiHidden/>
    <w:qFormat/>
    <w:locked/>
    <w:uiPriority w:val="99"/>
    <w:rPr>
      <w:rFonts w:cs="Times New Roman"/>
      <w:b/>
      <w:bCs/>
    </w:rPr>
  </w:style>
  <w:style w:type="character" w:customStyle="1" w:styleId="28">
    <w:name w:val="Heading 7 Char"/>
    <w:basedOn w:val="17"/>
    <w:link w:val="8"/>
    <w:semiHidden/>
    <w:qFormat/>
    <w:locked/>
    <w:uiPriority w:val="99"/>
    <w:rPr>
      <w:rFonts w:cs="Times New Roman"/>
      <w:sz w:val="24"/>
      <w:szCs w:val="24"/>
    </w:rPr>
  </w:style>
  <w:style w:type="character" w:customStyle="1" w:styleId="29">
    <w:name w:val="Heading 8 Char"/>
    <w:basedOn w:val="17"/>
    <w:link w:val="9"/>
    <w:semiHidden/>
    <w:qFormat/>
    <w:locked/>
    <w:uiPriority w:val="99"/>
    <w:rPr>
      <w:rFonts w:cs="Times New Roman"/>
      <w:i/>
      <w:iCs/>
      <w:sz w:val="24"/>
      <w:szCs w:val="24"/>
    </w:rPr>
  </w:style>
  <w:style w:type="character" w:customStyle="1" w:styleId="30">
    <w:name w:val="Heading 9 Char"/>
    <w:basedOn w:val="17"/>
    <w:link w:val="10"/>
    <w:semiHidden/>
    <w:qFormat/>
    <w:locked/>
    <w:uiPriority w:val="99"/>
    <w:rPr>
      <w:rFonts w:ascii="Cambria" w:hAnsi="Cambria" w:eastAsia="宋体" w:cs="Times New Roman"/>
    </w:rPr>
  </w:style>
  <w:style w:type="character" w:customStyle="1" w:styleId="31">
    <w:name w:val="Title Char"/>
    <w:basedOn w:val="17"/>
    <w:link w:val="15"/>
    <w:qFormat/>
    <w:locked/>
    <w:uiPriority w:val="99"/>
    <w:rPr>
      <w:rFonts w:ascii="Cambria" w:hAnsi="Cambria" w:eastAsia="宋体" w:cs="Times New Roman"/>
      <w:b/>
      <w:bCs/>
      <w:kern w:val="28"/>
      <w:sz w:val="32"/>
      <w:szCs w:val="32"/>
    </w:rPr>
  </w:style>
  <w:style w:type="character" w:customStyle="1" w:styleId="32">
    <w:name w:val="Subtitle Char"/>
    <w:basedOn w:val="17"/>
    <w:link w:val="13"/>
    <w:qFormat/>
    <w:locked/>
    <w:uiPriority w:val="99"/>
    <w:rPr>
      <w:rFonts w:ascii="Cambria" w:hAnsi="Cambria" w:eastAsia="宋体" w:cs="Times New Roman"/>
      <w:sz w:val="24"/>
      <w:szCs w:val="24"/>
    </w:rPr>
  </w:style>
  <w:style w:type="paragraph" w:styleId="33">
    <w:name w:val="No Spacing"/>
    <w:basedOn w:val="1"/>
    <w:qFormat/>
    <w:uiPriority w:val="99"/>
    <w:pPr>
      <w:widowControl/>
      <w:jc w:val="left"/>
    </w:pPr>
    <w:rPr>
      <w:rFonts w:ascii="Calibri" w:hAnsi="Calibri"/>
      <w:kern w:val="0"/>
      <w:sz w:val="24"/>
      <w:szCs w:val="32"/>
      <w:lang w:eastAsia="en-US"/>
    </w:rPr>
  </w:style>
  <w:style w:type="paragraph" w:styleId="34">
    <w:name w:val="List Paragraph"/>
    <w:basedOn w:val="1"/>
    <w:qFormat/>
    <w:uiPriority w:val="99"/>
    <w:pPr>
      <w:widowControl/>
      <w:ind w:left="720"/>
      <w:contextualSpacing/>
      <w:jc w:val="left"/>
    </w:pPr>
    <w:rPr>
      <w:rFonts w:ascii="Calibri" w:hAnsi="Calibri"/>
      <w:kern w:val="0"/>
      <w:sz w:val="24"/>
      <w:lang w:eastAsia="en-US"/>
    </w:rPr>
  </w:style>
  <w:style w:type="paragraph" w:styleId="35">
    <w:name w:val="Quote"/>
    <w:basedOn w:val="1"/>
    <w:next w:val="1"/>
    <w:link w:val="36"/>
    <w:qFormat/>
    <w:uiPriority w:val="99"/>
    <w:pPr>
      <w:widowControl/>
      <w:jc w:val="left"/>
    </w:pPr>
    <w:rPr>
      <w:rFonts w:ascii="Calibri" w:hAnsi="Calibri"/>
      <w:i/>
      <w:kern w:val="0"/>
      <w:sz w:val="24"/>
    </w:rPr>
  </w:style>
  <w:style w:type="character" w:customStyle="1" w:styleId="36">
    <w:name w:val="Quote Char"/>
    <w:basedOn w:val="17"/>
    <w:link w:val="35"/>
    <w:qFormat/>
    <w:locked/>
    <w:uiPriority w:val="99"/>
    <w:rPr>
      <w:rFonts w:cs="Times New Roman"/>
      <w:i/>
      <w:sz w:val="24"/>
      <w:szCs w:val="24"/>
    </w:rPr>
  </w:style>
  <w:style w:type="paragraph" w:styleId="37">
    <w:name w:val="Intense Quote"/>
    <w:basedOn w:val="1"/>
    <w:next w:val="1"/>
    <w:link w:val="38"/>
    <w:qFormat/>
    <w:uiPriority w:val="99"/>
    <w:pPr>
      <w:widowControl/>
      <w:ind w:left="720" w:right="720"/>
      <w:jc w:val="left"/>
    </w:pPr>
    <w:rPr>
      <w:rFonts w:ascii="Calibri" w:hAnsi="Calibri"/>
      <w:b/>
      <w:i/>
      <w:kern w:val="0"/>
      <w:sz w:val="24"/>
      <w:szCs w:val="22"/>
    </w:rPr>
  </w:style>
  <w:style w:type="character" w:customStyle="1" w:styleId="38">
    <w:name w:val="Intense Quote Char"/>
    <w:basedOn w:val="17"/>
    <w:link w:val="37"/>
    <w:qFormat/>
    <w:locked/>
    <w:uiPriority w:val="99"/>
    <w:rPr>
      <w:rFonts w:cs="Times New Roman"/>
      <w:b/>
      <w:i/>
      <w:sz w:val="24"/>
    </w:rPr>
  </w:style>
  <w:style w:type="character" w:customStyle="1" w:styleId="39">
    <w:name w:val="Subtle Emphasis"/>
    <w:basedOn w:val="17"/>
    <w:qFormat/>
    <w:uiPriority w:val="99"/>
    <w:rPr>
      <w:i/>
      <w:color w:val="5A5A5A"/>
    </w:rPr>
  </w:style>
  <w:style w:type="character" w:customStyle="1" w:styleId="40">
    <w:name w:val="Intense Emphasis"/>
    <w:basedOn w:val="17"/>
    <w:qFormat/>
    <w:uiPriority w:val="99"/>
    <w:rPr>
      <w:rFonts w:cs="Times New Roman"/>
      <w:b/>
      <w:i/>
      <w:sz w:val="24"/>
      <w:szCs w:val="24"/>
      <w:u w:val="single"/>
    </w:rPr>
  </w:style>
  <w:style w:type="character" w:customStyle="1" w:styleId="41">
    <w:name w:val="Subtle Reference"/>
    <w:basedOn w:val="17"/>
    <w:qFormat/>
    <w:uiPriority w:val="99"/>
    <w:rPr>
      <w:rFonts w:cs="Times New Roman"/>
      <w:sz w:val="24"/>
      <w:szCs w:val="24"/>
      <w:u w:val="single"/>
    </w:rPr>
  </w:style>
  <w:style w:type="character" w:customStyle="1" w:styleId="42">
    <w:name w:val="Intense Reference"/>
    <w:basedOn w:val="17"/>
    <w:qFormat/>
    <w:uiPriority w:val="99"/>
    <w:rPr>
      <w:rFonts w:cs="Times New Roman"/>
      <w:b/>
      <w:sz w:val="24"/>
      <w:u w:val="single"/>
    </w:rPr>
  </w:style>
  <w:style w:type="character" w:customStyle="1" w:styleId="43">
    <w:name w:val="Book Title"/>
    <w:basedOn w:val="17"/>
    <w:qFormat/>
    <w:uiPriority w:val="99"/>
    <w:rPr>
      <w:rFonts w:ascii="Cambria" w:hAnsi="Cambria" w:eastAsia="宋体" w:cs="Times New Roman"/>
      <w:b/>
      <w:i/>
      <w:sz w:val="24"/>
      <w:szCs w:val="24"/>
    </w:rPr>
  </w:style>
  <w:style w:type="paragraph" w:customStyle="1" w:styleId="44">
    <w:name w:val="TOC Heading"/>
    <w:basedOn w:val="2"/>
    <w:next w:val="1"/>
    <w:qFormat/>
    <w:uiPriority w:val="99"/>
    <w:pPr>
      <w:outlineLvl w:val="9"/>
    </w:pPr>
    <w:rPr>
      <w:lang w:eastAsia="en-US"/>
    </w:rPr>
  </w:style>
  <w:style w:type="character" w:customStyle="1" w:styleId="45">
    <w:name w:val="Header Char"/>
    <w:basedOn w:val="17"/>
    <w:link w:val="12"/>
    <w:qFormat/>
    <w:locked/>
    <w:uiPriority w:val="99"/>
    <w:rPr>
      <w:rFonts w:ascii="Calibri" w:hAnsi="Calibri" w:eastAsia="宋体" w:cs="Times New Roman"/>
      <w:kern w:val="2"/>
      <w:sz w:val="18"/>
      <w:szCs w:val="18"/>
    </w:rPr>
  </w:style>
  <w:style w:type="character" w:customStyle="1" w:styleId="46">
    <w:name w:val="Footer Char"/>
    <w:basedOn w:val="17"/>
    <w:link w:val="11"/>
    <w:qFormat/>
    <w:locked/>
    <w:uiPriority w:val="99"/>
    <w:rPr>
      <w:rFonts w:ascii="Calibri" w:hAnsi="Calibri" w:eastAsia="宋体" w:cs="Times New Roman"/>
      <w:kern w:val="2"/>
      <w:sz w:val="18"/>
      <w:szCs w:val="18"/>
    </w:rPr>
  </w:style>
  <w:style w:type="character" w:customStyle="1" w:styleId="47">
    <w:name w:val="font71"/>
    <w:basedOn w:val="17"/>
    <w:qFormat/>
    <w:uiPriority w:val="0"/>
    <w:rPr>
      <w:rFonts w:hint="default" w:ascii="Times New Roman" w:hAnsi="Times New Roman" w:eastAsia="楷体_GB2312" w:cs="Times New Roman"/>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100</Words>
  <Characters>575</Characters>
  <Lines>0</Lines>
  <Paragraphs>0</Paragraphs>
  <TotalTime>23</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2018-12-13T12:14:00Z</dcterms:created>
  <dc:creator>赵 恺（预算处）</dc:creator>
  <cp:lastModifiedBy>菩提_薇薇安</cp:lastModifiedBy>
  <cp:lastPrinted>2018-12-23T11:00:00Z</cp:lastPrinted>
  <dcterms:modified xsi:type="dcterms:W3CDTF">2019-08-24T04:45:23Z</dcterms:modified>
  <dc:title>（参考提纲）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